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rFonts w:eastAsia="SimSun"/>
          <w:b/>
          <w:color w:val="000000"/>
          <w:sz w:val="24"/>
          <w:szCs w:val="24"/>
          <w:u w:val="single"/>
          <w:lang w:eastAsia="zh-CN"/>
        </w:rPr>
      </w:pPr>
      <w:r>
        <w:rPr>
          <w:rFonts w:eastAsia="SimSun"/>
          <w:b/>
          <w:color w:val="000000"/>
          <w:sz w:val="24"/>
          <w:szCs w:val="24"/>
          <w:u w:val="single"/>
          <w:lang w:eastAsia="zh-CN"/>
        </w:rPr>
        <w:t>ОД-2. </w:t>
      </w:r>
      <w:r w:rsidRPr="00233622">
        <w:rPr>
          <w:rFonts w:eastAsia="SimSun"/>
          <w:b/>
          <w:color w:val="000000"/>
          <w:sz w:val="24"/>
          <w:szCs w:val="24"/>
          <w:u w:val="single"/>
          <w:lang w:eastAsia="zh-CN"/>
        </w:rPr>
        <w:t>Зона делового, общественного и коммерческого назначения местного значения.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i/>
          <w:iCs/>
          <w:color w:val="000000"/>
          <w:sz w:val="24"/>
          <w:szCs w:val="24"/>
        </w:rPr>
      </w:pPr>
      <w:r w:rsidRPr="00233622">
        <w:rPr>
          <w:i/>
          <w:iCs/>
          <w:color w:val="000000"/>
          <w:sz w:val="24"/>
          <w:szCs w:val="24"/>
        </w:rPr>
        <w:t>Зона обслуживания и деловой активности местного значения ОД - 2 выделена для обеспечения правовых условий формирования местных (локальных) центров  с широким спектром коммерческих и обслуживающих функций, ориентированных на удовлетворение повседневных и периодических потребностей населения.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  <w:r w:rsidRPr="00233622">
        <w:rPr>
          <w:b/>
          <w:color w:val="000000"/>
          <w:sz w:val="24"/>
          <w:szCs w:val="24"/>
        </w:rPr>
        <w:t>Основные виды разрешенного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3.8.1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Государственное управление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кв. м 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[4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.1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Деловое управление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378" w:type="dxa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кв. м 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838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4.5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Банковская и страховая деятельность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предназначены для размещения организаций, оказывающи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х банковские и страховые услуги</w:t>
            </w:r>
          </w:p>
        </w:tc>
        <w:tc>
          <w:tcPr>
            <w:tcW w:w="6378" w:type="dxa"/>
            <w:vMerge w:val="restart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3.2.2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Оказание социальной помощи населению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назначения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социальных или пенсионных выплат, а также для размещения общественных некоммерческих организаций: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378" w:type="dxa"/>
            <w:vMerge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3.2.3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233622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378" w:type="dxa"/>
            <w:vMerge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3.2.4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233622">
              <w:rPr>
                <w:color w:val="000000"/>
                <w:sz w:val="24"/>
                <w:szCs w:val="24"/>
              </w:rPr>
              <w:t>Общежития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6378" w:type="dxa"/>
            <w:vMerge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[3.6.1] – Объекты культурно-досуговой деятельности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кв. м 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;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максимальное количество надземных этажей зданий – 4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4.2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общей площадью свыше 5000 кв. м предназначенные для размещения одной или нескольких организаций, осуществляющих продажу товаров, и (или) оказание услуг в соответствии с содержанием видов разрешенного и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спользования с кодами 4.5 - 4.9</w:t>
            </w:r>
          </w:p>
        </w:tc>
        <w:tc>
          <w:tcPr>
            <w:tcW w:w="6378" w:type="dxa"/>
            <w:vMerge w:val="restart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4.3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Рынки</w:t>
            </w:r>
          </w:p>
        </w:tc>
        <w:tc>
          <w:tcPr>
            <w:tcW w:w="5670" w:type="dxa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сооружения, предназначены для организации постоянной или временной торговли (ярмарка, рынок, базар), с учетом того, что каждое из торговых мест не располагает то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рговой площадью более 200 кв. м</w:t>
            </w:r>
          </w:p>
        </w:tc>
        <w:tc>
          <w:tcPr>
            <w:tcW w:w="6378" w:type="dxa"/>
            <w:vMerge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4.4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Магазины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предназначены для продажи товаров, торговая площадь к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оторых составляет до 5000 кв. м</w:t>
            </w:r>
          </w:p>
        </w:tc>
        <w:tc>
          <w:tcPr>
            <w:tcW w:w="6378" w:type="dxa"/>
            <w:vMerge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4.10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proofErr w:type="spell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Выставочно</w:t>
            </w:r>
            <w:proofErr w:type="spell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-ярмарочная деятельность</w:t>
            </w:r>
          </w:p>
        </w:tc>
        <w:tc>
          <w:tcPr>
            <w:tcW w:w="5670" w:type="dxa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Объекты капитального строительства, сооружения, предназначены для осуществления </w:t>
            </w:r>
            <w:proofErr w:type="spell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выставочно</w:t>
            </w:r>
            <w:proofErr w:type="spell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-ярмарочной и </w:t>
            </w:r>
            <w:proofErr w:type="spell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конгрессной</w:t>
            </w:r>
            <w:proofErr w:type="spell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6378" w:type="dxa"/>
            <w:vMerge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[4.6] – </w:t>
            </w:r>
            <w:r w:rsidRPr="00233622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Объекты капитального строительства, предназначены для устройства мест общественного питания (рестораны, кафе, столовые, закусочные, бары)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300 кв. м/5000 кв.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 xml:space="preserve">минимальные отступы от границ земельных участков </w:t>
            </w:r>
            <w:r w:rsidRPr="00233622">
              <w:rPr>
                <w:color w:val="000000"/>
                <w:sz w:val="24"/>
                <w:szCs w:val="24"/>
              </w:rPr>
              <w:lastRenderedPageBreak/>
              <w:t>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3.3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Бытовое обслуживание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 кв. м/5000 кв.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[4.8.1] – Развлекательные мероприятия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4.7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Гостиничное обслуживание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Гостиницы, а также иные здания, используемые с целью извлечения предпринимательской выгоды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из предоставления жилого помещения для временного проживания в них</w:t>
            </w: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 – 400 кв. м/5000 кв.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[3.1.2] - </w:t>
            </w:r>
            <w:r w:rsidRPr="00233622">
              <w:rPr>
                <w:color w:val="000000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- 400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bCs/>
                <w:color w:val="000000"/>
                <w:sz w:val="24"/>
                <w:szCs w:val="24"/>
              </w:rPr>
              <w:t>;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- 20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3312"/>
        </w:trPr>
        <w:tc>
          <w:tcPr>
            <w:tcW w:w="3545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3.9.1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Обеспечение деятельности в области гидрометеорологии и смежных с ней областях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Объекты капитального строительства, предназначены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здания и сооружения, используемые в области гидрометеорологии и смежных с ней областях (доплеровские метеорологические радиолокаторы, 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гидрологические посты и другие)</w:t>
            </w:r>
            <w:proofErr w:type="gramEnd"/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- 10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4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- 35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[12.0.1] - Улично-дорожная сеть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cr/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 2.7.1, 4.9, 7.2.3, а также некапитальных сооружений, предназначенных для охраны транспортных средств</w:t>
            </w:r>
            <w:proofErr w:type="gramEnd"/>
          </w:p>
        </w:tc>
        <w:tc>
          <w:tcPr>
            <w:tcW w:w="6378" w:type="dxa"/>
            <w:vMerge w:val="restart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Регламенты не подлежат установлению.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 xml:space="preserve">Использование земельных участков, на которые действие градостроительных регламентов не </w:t>
            </w:r>
            <w:proofErr w:type="gramStart"/>
            <w:r w:rsidRPr="00233622">
              <w:rPr>
                <w:color w:val="000000"/>
                <w:sz w:val="24"/>
                <w:szCs w:val="24"/>
              </w:rPr>
              <w:t>распространяется или для которых градостроительные регламенты не устанавливаются</w:t>
            </w:r>
            <w:proofErr w:type="gramEnd"/>
            <w:r w:rsidRPr="00233622">
              <w:rPr>
                <w:color w:val="000000"/>
                <w:sz w:val="24"/>
                <w:szCs w:val="24"/>
              </w:rPr>
              <w:t>,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      </w:r>
          </w:p>
        </w:tc>
      </w:tr>
      <w:tr w:rsidR="00234B91" w:rsidRPr="00233622" w:rsidTr="00610B73">
        <w:trPr>
          <w:trHeight w:val="529"/>
        </w:trPr>
        <w:tc>
          <w:tcPr>
            <w:tcW w:w="3545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[12.0.2] - Благоустройство территории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378" w:type="dxa"/>
            <w:vMerge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[3.6.2] – Парки культуры и отдыха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парков культуры и отдыха</w:t>
            </w:r>
          </w:p>
        </w:tc>
        <w:tc>
          <w:tcPr>
            <w:tcW w:w="6378" w:type="dxa"/>
            <w:vAlign w:val="center"/>
          </w:tcPr>
          <w:p w:rsidR="00234B91" w:rsidRPr="003222EB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3222EB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400 кв. м. /</w:t>
            </w:r>
            <w:r w:rsidRPr="00DE7B47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не подлежит установлению</w:t>
            </w:r>
            <w:r w:rsidRPr="003222EB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3222EB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3222EB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Предельные параметры разрешенного строительства, реконструкции объектов капитального строительства не устанавливаются в связи с запретом строительства объектов капитального строительства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i/>
          <w:iCs/>
          <w:color w:val="000000"/>
          <w:sz w:val="24"/>
          <w:szCs w:val="24"/>
        </w:rPr>
      </w:pPr>
      <w:r w:rsidRPr="00233622">
        <w:rPr>
          <w:b/>
          <w:color w:val="000000"/>
          <w:sz w:val="24"/>
          <w:szCs w:val="24"/>
        </w:rPr>
        <w:t>Условно разрешенные виды использования земельных участков 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5670"/>
        <w:gridCol w:w="6378"/>
      </w:tblGrid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  <w:shd w:val="clear" w:color="auto" w:fill="FFFFFF"/>
              </w:rPr>
              <w:t>Описание вида разрешенного использования земельного участка</w:t>
            </w: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center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[2.3] - Блокированная жилая застройка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33622">
              <w:rPr>
                <w:color w:val="000000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233622">
              <w:rPr>
                <w:color w:val="000000"/>
                <w:sz w:val="24"/>
                <w:szCs w:val="24"/>
              </w:rPr>
              <w:t xml:space="preserve"> пользования (жилые дома блокированной застройки);</w:t>
            </w:r>
          </w:p>
          <w:p w:rsidR="00234B91" w:rsidRPr="00233622" w:rsidRDefault="00234B91" w:rsidP="00610B73">
            <w:pPr>
              <w:widowControl w:val="0"/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400/8000 кв.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200/800 кв. м из расчета на 1 блок;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6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- 0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- 0,8;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 xml:space="preserve">Не допускается размещение новых объектов жилого назначения, за исключением реконструкции существующих жилых объектов, без увеличения их </w:t>
            </w:r>
            <w:r w:rsidRPr="00233622">
              <w:rPr>
                <w:color w:val="000000"/>
                <w:sz w:val="24"/>
                <w:szCs w:val="24"/>
              </w:rPr>
              <w:lastRenderedPageBreak/>
              <w:t>фактической (существующей) этажности.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lastRenderedPageBreak/>
              <w:t>[2.1.1] - Малоэтажная многоквартирная жилая застройка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33622">
              <w:rPr>
                <w:color w:val="000000"/>
                <w:sz w:val="24"/>
                <w:szCs w:val="24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  <w:r w:rsidRPr="00233622">
              <w:rPr>
                <w:color w:val="000000"/>
                <w:sz w:val="24"/>
                <w:szCs w:val="24"/>
              </w:rPr>
              <w:br/>
              <w:t>обустройство спортивных и детских площадок, площадок для отдыха;</w:t>
            </w:r>
            <w:r w:rsidRPr="00233622">
              <w:rPr>
                <w:color w:val="000000"/>
                <w:sz w:val="24"/>
                <w:szCs w:val="24"/>
              </w:rPr>
              <w:br/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proofErr w:type="gramEnd"/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1000/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- 0,8;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Не допускается размещение новых объектов жилого назначения, за исключением реконструкции существующих жилых объектов, без увеличения их фактической (существующей) этажности.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[3.5.1] - Дошкольное, начальное и среднее общее образование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– 400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bCs/>
                <w:color w:val="000000"/>
                <w:sz w:val="24"/>
                <w:szCs w:val="24"/>
              </w:rPr>
              <w:t>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25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40%;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3.5.2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Среднее и высшее профессиональное образование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 – 400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фронта улицы (проезда) – 20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3.4.1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– Амбулаторно-поликлиническое обслуживание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378" w:type="dxa"/>
            <w:vMerge w:val="restart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400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bCs/>
                <w:color w:val="000000"/>
                <w:sz w:val="24"/>
                <w:szCs w:val="24"/>
              </w:rPr>
              <w:t>;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4 этажа;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3.4.2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– Стационарное медицинское обслуживание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размещение станций скорой помощи;</w:t>
            </w:r>
            <w:r w:rsidRPr="00233622">
              <w:rPr>
                <w:color w:val="000000"/>
                <w:sz w:val="24"/>
                <w:szCs w:val="24"/>
              </w:rPr>
              <w:br/>
            </w:r>
            <w:r w:rsidRPr="00233622">
              <w:rPr>
                <w:color w:val="000000"/>
                <w:sz w:val="24"/>
                <w:szCs w:val="24"/>
                <w:shd w:val="clear" w:color="auto" w:fill="FFFFFF"/>
              </w:rPr>
              <w:t>размещение площадок санитарной авиации</w:t>
            </w:r>
          </w:p>
        </w:tc>
        <w:tc>
          <w:tcPr>
            <w:tcW w:w="6378" w:type="dxa"/>
            <w:vMerge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3.7.1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] - Осуществление религиозных обрядов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-4787"/>
              </w:tabs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- 400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bCs/>
                <w:color w:val="000000"/>
                <w:sz w:val="24"/>
                <w:szCs w:val="24"/>
              </w:rPr>
              <w:t>;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высота зданий, строений, сооружений от уровня земли -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33622">
                <w:rPr>
                  <w:rFonts w:eastAsia="SimSun"/>
                  <w:color w:val="000000"/>
                  <w:sz w:val="24"/>
                  <w:szCs w:val="24"/>
                  <w:lang w:eastAsia="zh-CN"/>
                </w:rPr>
                <w:t>30 м</w:t>
              </w:r>
            </w:smartTag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[4.9] - Служебные гаражи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20/5000 кв.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[3.1.1] - Предоставление коммунальных услуг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канализаций)</w:t>
            </w:r>
            <w:proofErr w:type="gramEnd"/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- 10 кв.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233622">
              <w:rPr>
                <w:bCs/>
                <w:color w:val="000000"/>
                <w:sz w:val="24"/>
                <w:szCs w:val="24"/>
              </w:rPr>
              <w:t>;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4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максимальное количество надземных этажей зданий – 3 этажа (включая мансардный этаж);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- 20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80%;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[4.8.2] – Проведение азартных игр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Размещение зданий и сооружений, предназначенных для размещения букмекерских контор, тотализаторов, их пунктов приема ставок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вне игорных зон</w:t>
            </w: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 – 100 кв. м/1000 кв.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фронта улицы (проезда) –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строений, сооружений от уровня земли - 15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highlight w:val="green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eastAsia="SimSun"/>
                <w:color w:val="000000"/>
                <w:sz w:val="24"/>
                <w:szCs w:val="24"/>
                <w:lang w:eastAsia="zh-CN"/>
              </w:rPr>
              <w:t>4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0%;</w:t>
            </w: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[</w:t>
            </w:r>
            <w:r w:rsidRPr="00233622">
              <w:rPr>
                <w:color w:val="000000"/>
                <w:sz w:val="24"/>
                <w:szCs w:val="24"/>
                <w:lang w:eastAsia="zh-CN"/>
              </w:rPr>
              <w:t>4.9.1.2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] - </w:t>
            </w:r>
            <w:r w:rsidRPr="00233622">
              <w:rPr>
                <w:color w:val="000000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6378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60/5000 кв.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максимальная высота зданий, строений, сооружений от уровня земли - 12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60%;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</w:tc>
      </w:tr>
      <w:tr w:rsidR="00234B91" w:rsidRPr="00233622" w:rsidTr="00610B73">
        <w:trPr>
          <w:trHeight w:val="20"/>
        </w:trPr>
        <w:tc>
          <w:tcPr>
            <w:tcW w:w="3545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[2.1] - Для индивидуального жилищного строительства</w:t>
            </w:r>
          </w:p>
        </w:tc>
        <w:tc>
          <w:tcPr>
            <w:tcW w:w="5670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выращивание сельскохозяйственных культур;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размещение индивидуальных гаражей и хозяйственных построек</w:t>
            </w:r>
          </w:p>
        </w:tc>
        <w:tc>
          <w:tcPr>
            <w:tcW w:w="6378" w:type="dxa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  – 400/2000 кв. м;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– 12 м;*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- 3 м;*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30%;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Коэффициент использования территории - 0,4;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Процент застройки подземной части не регламентируется.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color w:val="000000"/>
                <w:sz w:val="24"/>
                <w:szCs w:val="24"/>
              </w:rPr>
              <w:lastRenderedPageBreak/>
              <w:t>Не допускается размещение новых объектов жилого назначения, за исключением реконструкции существующих жилых объектов, без увеличения их фактической (существующей) этажности.</w:t>
            </w:r>
          </w:p>
        </w:tc>
      </w:tr>
    </w:tbl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rFonts w:eastAsia="SimSun"/>
          <w:b/>
          <w:color w:val="000000"/>
          <w:sz w:val="24"/>
          <w:szCs w:val="24"/>
          <w:lang w:eastAsia="zh-CN"/>
        </w:rPr>
      </w:pP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b/>
          <w:color w:val="000000"/>
          <w:sz w:val="24"/>
          <w:szCs w:val="24"/>
        </w:rPr>
      </w:pPr>
      <w:proofErr w:type="gramStart"/>
      <w:r w:rsidRPr="00233622">
        <w:rPr>
          <w:rFonts w:eastAsia="SimSun"/>
          <w:b/>
          <w:color w:val="000000"/>
          <w:sz w:val="24"/>
          <w:szCs w:val="24"/>
          <w:lang w:eastAsia="zh-CN"/>
        </w:rPr>
        <w:t xml:space="preserve">Вспомогательные виды разрешенного использования земельных участков и объектов капитального строительства,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</w:t>
      </w:r>
      <w:r w:rsidRPr="00233622">
        <w:rPr>
          <w:b/>
          <w:color w:val="000000"/>
          <w:sz w:val="24"/>
          <w:szCs w:val="24"/>
        </w:rPr>
        <w:t>и предельные параметры разрешенного строительства, реконструкции объектов капитального строительства</w:t>
      </w:r>
      <w:proofErr w:type="gramEnd"/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7938"/>
      </w:tblGrid>
      <w:tr w:rsidR="00234B91" w:rsidRPr="00233622" w:rsidTr="00610B73">
        <w:trPr>
          <w:trHeight w:val="20"/>
        </w:trPr>
        <w:tc>
          <w:tcPr>
            <w:tcW w:w="7655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-1667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и</w:t>
            </w:r>
            <w:r w:rsidRPr="00233622">
              <w:rPr>
                <w:b/>
                <w:color w:val="000000"/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938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26"/>
              <w:jc w:val="center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b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34B91" w:rsidRPr="00233622" w:rsidTr="00610B73">
        <w:trPr>
          <w:trHeight w:val="20"/>
        </w:trPr>
        <w:tc>
          <w:tcPr>
            <w:tcW w:w="7655" w:type="dxa"/>
            <w:vAlign w:val="center"/>
          </w:tcPr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- аналогичны</w:t>
            </w:r>
            <w:r w:rsidRPr="00233622">
              <w:rPr>
                <w:color w:val="000000"/>
                <w:sz w:val="24"/>
                <w:szCs w:val="24"/>
              </w:rPr>
              <w:t xml:space="preserve"> видам разрешенного использования земельных участков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 основными и условно разрешенными видами использования;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строительства.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 коммунального хозяйства (электро-, тепл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о-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 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проезды общего пользования;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благоустроенные, в том числе озелененные территории, детские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площадки, площадки для отдыха, спортивных занятий;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 </w:t>
            </w:r>
            <w:proofErr w:type="gramEnd"/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площадки хозяйственные, в том числе площадки для мусоросборников и выгула собак;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общественные туалеты, надворные туалеты, гидронепроницаемые выгребы, септики;</w:t>
            </w:r>
          </w:p>
          <w:p w:rsidR="00234B91" w:rsidRPr="00233622" w:rsidRDefault="00234B91" w:rsidP="00610B73">
            <w:pPr>
              <w:widowControl w:val="0"/>
              <w:tabs>
                <w:tab w:val="left" w:pos="2520"/>
              </w:tabs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</w:p>
        </w:tc>
        <w:tc>
          <w:tcPr>
            <w:tcW w:w="7938" w:type="dxa"/>
            <w:vAlign w:val="center"/>
          </w:tcPr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 xml:space="preserve">минимальная площадь земельных участков - 1 кв. м.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максимальная площадь  земельного участка, установленная для объектов вспомогательного назначения равнозначна максимальной площади, предназначенной для основных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или) условно разрешенных видов использования, с обязательным условием применения понижающего коэффициента 0,5.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минимальная ширина земельных участков вдоль фронта улицы (проезда) -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1 м/</w:t>
            </w:r>
            <w:r w:rsidRPr="00233622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максимальной ширины земельного участка, установленного для объектов с основными </w:t>
            </w:r>
            <w:proofErr w:type="gramStart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участка, максимальная высота строений, сооружений от уровня земли - равнозначны, параметрам разрешенного строительства, реконструкции объектов с основными и условно разрешенными видами использования,  с обязательным условием применения понижающего коэффициента 0,5 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233622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234B91" w:rsidRPr="00233622" w:rsidRDefault="00234B91" w:rsidP="00610B73">
            <w:pPr>
              <w:widowControl w:val="0"/>
              <w:tabs>
                <w:tab w:val="left" w:pos="-6204"/>
              </w:tabs>
              <w:overflowPunct w:val="0"/>
              <w:autoSpaceDE w:val="0"/>
              <w:autoSpaceDN w:val="0"/>
              <w:adjustRightInd w:val="0"/>
              <w:ind w:firstLine="459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требования в части максимальной высоты, установленные </w:t>
            </w:r>
            <w:r w:rsidRPr="00233622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настоящими Правилами, не распространяются на антенны, вентиляционные и дымовые трубы;</w:t>
            </w:r>
          </w:p>
          <w:p w:rsidR="00234B91" w:rsidRPr="00233622" w:rsidRDefault="00234B91" w:rsidP="00610B73">
            <w:pPr>
              <w:widowControl w:val="0"/>
              <w:overflowPunct w:val="0"/>
              <w:autoSpaceDE w:val="0"/>
              <w:autoSpaceDN w:val="0"/>
              <w:adjustRightInd w:val="0"/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center"/>
        <w:rPr>
          <w:rFonts w:eastAsia="SimSun"/>
          <w:caps/>
          <w:color w:val="000000"/>
          <w:sz w:val="24"/>
          <w:szCs w:val="24"/>
          <w:lang w:eastAsia="zh-CN"/>
        </w:rPr>
      </w:pP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outlineLvl w:val="0"/>
        <w:rPr>
          <w:rFonts w:eastAsia="SimSun"/>
          <w:b/>
          <w:color w:val="000000"/>
          <w:sz w:val="24"/>
          <w:szCs w:val="24"/>
          <w:lang w:eastAsia="zh-CN"/>
        </w:rPr>
      </w:pPr>
      <w:r w:rsidRPr="00233622">
        <w:rPr>
          <w:rFonts w:eastAsia="SimSun"/>
          <w:b/>
          <w:color w:val="000000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строительства: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spacing w:line="320" w:lineRule="exact"/>
        <w:ind w:firstLine="709"/>
        <w:jc w:val="both"/>
        <w:rPr>
          <w:color w:val="000000"/>
          <w:sz w:val="24"/>
          <w:szCs w:val="24"/>
        </w:rPr>
      </w:pPr>
      <w:r w:rsidRPr="00233622">
        <w:rPr>
          <w:color w:val="000000"/>
          <w:sz w:val="24"/>
          <w:szCs w:val="24"/>
        </w:rPr>
        <w:t>Минимальный процент озеленения земельного участка для всех типов многоквартирной жилой застройки – 15%.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color w:val="000000"/>
          <w:sz w:val="24"/>
          <w:szCs w:val="24"/>
        </w:rPr>
        <w:t>Минимальный процент озеленения земельного участка для зданий общественно-делового назначения и апартаментов – 10%.</w:t>
      </w:r>
    </w:p>
    <w:p w:rsidR="00234B91" w:rsidRPr="00233622" w:rsidRDefault="00234B91" w:rsidP="00234B91">
      <w:pPr>
        <w:keepLines/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33622">
        <w:rPr>
          <w:color w:val="000000"/>
          <w:sz w:val="24"/>
          <w:szCs w:val="24"/>
        </w:rPr>
        <w:t>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улиц, ограничивающих жилые комплексы, кварталы, микрорайоны, за счет сужения проезжей части этих улиц, пешеходных проходов, тротуаров.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Не допускается ограничение общего доступа к территориям, сформированным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 декабря 2014 года № 1300.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Расстояние до красной линии: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1) от Дошкольных образовательных учреждений и общеобразовательных школ (стены здания) -10 м;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2) от Пожарных депо - 10 м (15 м - для депо </w:t>
      </w:r>
      <w:r w:rsidRPr="00233622">
        <w:rPr>
          <w:rFonts w:eastAsia="SimSun"/>
          <w:color w:val="000000"/>
          <w:sz w:val="24"/>
          <w:szCs w:val="24"/>
          <w:lang w:val="en-US" w:eastAsia="zh-CN"/>
        </w:rPr>
        <w:t>I</w:t>
      </w: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 типа);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3) улиц, от жилых и общественных зданий  – 5 м;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4) проездов, от жилых и общественных зданий – 3 м;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5) от остальных зданий и сооружений - 5 м.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До границы соседнего приквартирного участка расстояния по санитарно-бытовым условиям должны быть не менее: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lastRenderedPageBreak/>
        <w:t>* в сложившейся застройке, при ширине земельного участка 12 метров и менее, для строительства жилого дома минимальный отступ от границы соседнего участка составляет не менее: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1,0 м - для одноэтажного жилого дома;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1,5 м - для двухэтажного жилого дома;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2,0 м - для трехэтажного жилого дома, при условии, что расстояние до расположенного на соседнем земельном участке жилого дома не менее 5 м;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от других построек (баня, гараж и другие) - 1 м;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от стволов высокорослых деревьев - 4 м;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от стволов среднерослых деревьев - 2 м;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от кустарника - 1 м.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На территориях с застройкой усадебными одно-, двухквартирными домами расстояние от окон жилых помещений (комнат, кухонь и веранд) до стен соседнего дома и хозяйственных построек (сарая, гаража, бани), расположенных на соседних земельных участках, должно быть не менее 6 м.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приквартирных участков.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20 м, и не более 100 м. Общее количество контейнеров не более 5 шт.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Надворные туалеты, гидронепроницаемые выгребы, септики должны размещаться на расстоянии: от соседнего жилого дома не менее - 12 м., от красной линии не менее - 10 м., от границы смежного земельного участка не менее - 4 м.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Все здания, строения и сооружения должны быть  обеспечены системами водоотведения с кровли, с целью предотвращения подтопления соседних земельных участков и строений.</w:t>
      </w:r>
    </w:p>
    <w:p w:rsidR="00234B91" w:rsidRPr="00233622" w:rsidRDefault="00234B91" w:rsidP="00234B9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Размещение навесов должно осуществляться  с учетом противопожарных требований и соблюдения нормативной  продолжительности инсоляции придомовых территорий и жилых помещений. </w:t>
      </w:r>
    </w:p>
    <w:p w:rsidR="00234B91" w:rsidRPr="00233622" w:rsidRDefault="00234B91" w:rsidP="00234B9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Устройство навесов не должно ущемлять  законных интересов соседних домовладельцев, в части водоотведения атмосферных осадков с кровли навесов,     при устройстве навесов  минимальный отступ от границы участка – 1м.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Вспомогательные строения, за исключением гаражей, размещать со стороны улиц не допускается.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Изменение общего рельефа земельного участка, осуществляемое путем выемки или насыпи земли, ведущее к изменению существующей водоотводной (дренажной) системы, к заболачиванию (переувлажнению) смежных участков или нарушению иных законных прав их владельцев, не допускается. При необходимости изменения рельефа должны быть выполнены мероприятия по недопущению возможных негативных последствий.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 м. (кроме объектов со специальными требованиями к </w:t>
      </w:r>
      <w:r w:rsidRPr="00233622">
        <w:rPr>
          <w:rFonts w:eastAsia="SimSun"/>
          <w:color w:val="000000"/>
          <w:sz w:val="24"/>
          <w:szCs w:val="24"/>
          <w:lang w:eastAsia="zh-CN"/>
        </w:rPr>
        <w:lastRenderedPageBreak/>
        <w:t xml:space="preserve">ограждению их территории). По границе с соседним земельным участком ограждения должны быть проветриваемыми на высоту не менее 0,5 м от уровня земли ограждения и высотой не более 2,0 м. 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Примечание общее.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233622">
        <w:rPr>
          <w:rFonts w:eastAsia="SimSun"/>
          <w:color w:val="000000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2) использование сточных вод в целях регулирования плодородия почв;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3) размещение кладбищ, скотомогильников, объектов</w:t>
      </w:r>
      <w:bookmarkStart w:id="0" w:name="_GoBack"/>
      <w:bookmarkEnd w:id="0"/>
      <w:r w:rsidRPr="00233622">
        <w:rPr>
          <w:rFonts w:eastAsia="SimSun"/>
          <w:color w:val="000000"/>
          <w:sz w:val="24"/>
          <w:szCs w:val="24"/>
          <w:lang w:eastAsia="zh-CN"/>
        </w:rPr>
        <w:t xml:space="preserve">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4) осуществление авиационных мер по борьбе с вредными организмами.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В соответствии с пунктами 2 и 3 части 4 статьи 36 Градостроительного кодекса Российской Федерации, действие градостроительного регламента не распространяется на земельные участки: 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>- в границах территорий общего пользования;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233622">
        <w:rPr>
          <w:rFonts w:eastAsia="SimSun"/>
          <w:color w:val="000000"/>
          <w:sz w:val="24"/>
          <w:szCs w:val="24"/>
          <w:lang w:eastAsia="zh-CN"/>
        </w:rPr>
        <w:t>- предназначенные для размещения линейных объектов и (или) занятые линейными объектами.</w:t>
      </w:r>
      <w:proofErr w:type="gramEnd"/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233622">
        <w:rPr>
          <w:rFonts w:eastAsia="SimSun"/>
          <w:color w:val="000000"/>
          <w:sz w:val="24"/>
          <w:szCs w:val="24"/>
          <w:lang w:eastAsia="zh-CN"/>
        </w:rPr>
        <w:t>Формирование земельных участков, предназначенных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(земельные участки (территории) общего пользования (код 12.0.)), а также размещение различного рода путей сообщения и сооружений, используемых для перевозки людей или грузов либо передачи веществ</w:t>
      </w:r>
      <w:proofErr w:type="gramEnd"/>
      <w:r w:rsidRPr="00233622">
        <w:rPr>
          <w:rFonts w:eastAsia="SimSun"/>
          <w:color w:val="000000"/>
          <w:sz w:val="24"/>
          <w:szCs w:val="24"/>
          <w:lang w:eastAsia="zh-CN"/>
        </w:rPr>
        <w:t xml:space="preserve"> (код 7.0) осуществляется в соответствии с действующим законодательством.</w:t>
      </w:r>
    </w:p>
    <w:p w:rsidR="00234B91" w:rsidRPr="007947F4" w:rsidRDefault="00234B91" w:rsidP="00234B91">
      <w:pPr>
        <w:widowControl w:val="0"/>
        <w:overflowPunct w:val="0"/>
        <w:autoSpaceDE w:val="0"/>
        <w:autoSpaceDN w:val="0"/>
        <w:adjustRightInd w:val="0"/>
        <w:ind w:firstLine="426"/>
        <w:jc w:val="both"/>
        <w:rPr>
          <w:rFonts w:eastAsia="SimSun"/>
          <w:color w:val="000000"/>
          <w:sz w:val="24"/>
          <w:szCs w:val="24"/>
          <w:lang w:eastAsia="zh-CN"/>
        </w:rPr>
      </w:pPr>
      <w:r w:rsidRPr="00233622">
        <w:rPr>
          <w:rFonts w:eastAsia="SimSun"/>
          <w:color w:val="000000"/>
          <w:sz w:val="24"/>
          <w:szCs w:val="24"/>
          <w:lang w:eastAsia="zh-CN"/>
        </w:rPr>
        <w:t xml:space="preserve">Размещение зданий, строений и сооружений возможно при соблюдении требований статьи </w:t>
      </w:r>
      <w:r>
        <w:rPr>
          <w:rFonts w:eastAsia="SimSun"/>
          <w:color w:val="000000"/>
          <w:sz w:val="24"/>
          <w:szCs w:val="24"/>
          <w:lang w:eastAsia="zh-CN"/>
        </w:rPr>
        <w:t>33 настоящих Правил.</w:t>
      </w:r>
    </w:p>
    <w:p w:rsidR="00234B91" w:rsidRPr="00233622" w:rsidRDefault="00234B91" w:rsidP="00234B91">
      <w:pPr>
        <w:widowControl w:val="0"/>
        <w:overflowPunct w:val="0"/>
        <w:autoSpaceDE w:val="0"/>
        <w:autoSpaceDN w:val="0"/>
        <w:adjustRightInd w:val="0"/>
        <w:rPr>
          <w:rFonts w:eastAsia="SimSun"/>
          <w:color w:val="000000"/>
          <w:sz w:val="24"/>
          <w:szCs w:val="24"/>
          <w:u w:val="single"/>
          <w:lang w:eastAsia="zh-CN"/>
        </w:rPr>
      </w:pPr>
    </w:p>
    <w:p w:rsidR="00E6272A" w:rsidRDefault="00E6272A"/>
    <w:sectPr w:rsidR="00E6272A" w:rsidSect="00234B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97"/>
    <w:rsid w:val="00234B91"/>
    <w:rsid w:val="00E6272A"/>
    <w:rsid w:val="00FA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5078</Words>
  <Characters>28948</Characters>
  <Application>Microsoft Office Word</Application>
  <DocSecurity>0</DocSecurity>
  <Lines>241</Lines>
  <Paragraphs>67</Paragraphs>
  <ScaleCrop>false</ScaleCrop>
  <Company/>
  <LinksUpToDate>false</LinksUpToDate>
  <CharactersWithSpaces>33959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2022-05-06T06:43:00Z</dcterms:created>
  <dcterms:modified xsi:type="dcterms:W3CDTF">2022-05-06T06:44:00Z</dcterms:modified>
</cp:coreProperties>
</file>